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>VALORES DO REPASSE EM 2025</w:t>
      </w:r>
    </w:p>
    <w:tbl>
      <w:tblPr>
        <w:tblOverlap w:val="never"/>
        <w:jc w:val="center"/>
        <w:tblLayout w:type="fixed"/>
      </w:tblPr>
      <w:tblGrid>
        <w:gridCol w:w="3149"/>
        <w:gridCol w:w="3158"/>
      </w:tblGrid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92D14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 xml:space="preserve">Mês </w:t>
            </w:r>
            <w:r>
              <w:rPr>
                <w:rStyle w:val="CharStyle5"/>
              </w:rPr>
              <w:t>do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2D14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valores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DEEAF6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JANEIRO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R$*******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DEEAF6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R$ 221.802,78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DEEAF6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R$ 110.901,39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DEEAF6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ABRIL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R$ 110.901,39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DEEAF6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R$ 162.558,54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DEEAF6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JUNHO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R$ 110.901,39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DEEAF6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JULHO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R$ 110.901,39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DEEAF6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AGOSTO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R$ 110.901,39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DEEAF6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SETEMBRO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BDD5E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OUTUBRO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BDD5E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NOVEMBRO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BDD5ED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DEZEMBRO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339A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00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TOTAL DO REPASSE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00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5"/>
              </w:rPr>
              <w:t>R$ 938.868,27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9" w:h="16838"/>
      <w:pgMar w:top="1411" w:right="3899" w:bottom="1051" w:left="1702" w:header="983" w:footer="62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80"/>
    </w:pPr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